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Assessment Validation Record</w:t>
      </w:r>
    </w:p>
    <w:p>
      <w:pPr>
        <w:spacing w:lineRule="auto"/>
      </w:pPr>
      <w:r>
        <w:rPr/>
        <w:t xml:space="preserve">ICTGAM533 — Create complex 3-D interactive games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Information and Communications Technology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online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Validation Record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session details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ICTGAM533 — Create complex 3-D interactive games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Validation date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Panel members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Chairperson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color w:val="70808c"/>
          <w:sz w:val="17"/>
        </w:rPr>
        <w:t xml:space="preserve">Validation confirms that assessment tools and completed judgements are consistent with the principles of assessment and the rules of evidence.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panel — credentials and independence</w:t>
      </w:r>
    </w:p>
    <w:p>
      <w:pPr>
        <w:spacing w:lineRule="auto"/>
      </w:pPr>
      <w:r>
        <w:rPr>
          <w:color w:val="70808c"/>
          <w:sz w:val="17"/>
        </w:rPr>
        <w:t xml:space="preserve">Under the Compliance Standards 2025 and the Credential Policy, validation must be undertaken by person(s) holding the required credentials, and the validation outcome must not be solely determined by a person who designed or delivered the training and assessment being validated.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Validator name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Credentials (per the Credential Policy)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Vocational competency / industry currency</w:t>
            </w:r>
          </w:p>
        </w:tc>
        <w:tc>
          <w:tcPr>
            <w:shd w:val="clear" w:fill="0b3d63"/>
            <w:vAlign w:val="top"/>
          </w:tcPr>
          <w:p>
            <w:pPr>
              <w:jc w:val="center"/>
              <w:spacing w:lineRule="auto"/>
            </w:pPr>
            <w:r>
              <w:rPr>
                <w:color w:val="ffffff"/>
                <w:b/>
              </w:rPr>
              <w:t xml:space="preserve">Designed or delivered this product? (Y/N)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Independence declaration</w:t>
      </w:r>
    </w:p>
    <w:p>
      <w:pPr>
        <w:spacing w:lineRule="auto"/>
      </w:pPr>
      <w:r>
        <w:rPr/>
        <w:t xml:space="preserve">The validation panel declares that the outcome of this validation was </w:t>
      </w:r>
      <w:r>
        <w:rPr>
          <w:b/>
        </w:rPr>
        <w:t xml:space="preserve">not solely determined</w:t>
      </w:r>
      <w:r>
        <w:rPr/>
        <w:t xml:space="preserve"> by any person who designed or delivered the training and assessment under validation.</w:t>
      </w:r>
    </w:p>
    <w:p>
      <w:pPr>
        <w:spacing w:lineRule="auto"/>
      </w:pPr>
      <w:r>
        <w:rPr>
          <w:color w:val="70808c"/>
          <w:sz w:val="17"/>
        </w:rPr>
        <w:t xml:space="preserve">Declared by (chairperson)  ·  Date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Sampling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Sample size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Risk-based rationale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[record the risk-based rationale for the sample size — e.g. cohort size, changes to delivery mode or tools since the last validation, previous validation/audit findings, assessor profile — to be completed by RTO]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Tools reviewed</w:t>
      </w:r>
    </w:p>
    <w:p>
      <w:pPr>
        <w:numPr>
          <w:ilvl w:val="0"/>
          <w:numId w:val="1"/>
        </w:numPr>
        <w:spacing w:lineRule="auto"/>
      </w:pPr>
      <w:r>
        <w:rPr/>
        <w:t xml:space="preserve">E1 Knowledge Questions — Prepare to create game </w:t>
      </w:r>
      <w:r>
        <w:rPr>
          <w:color w:val="70808c"/>
          <w:sz w:val="17"/>
        </w:rPr>
        <w:t xml:space="preserve">(knowledge questions, E1)</w:t>
      </w:r>
    </w:p>
    <w:p>
      <w:pPr>
        <w:numPr>
          <w:ilvl w:val="0"/>
          <w:numId w:val="1"/>
        </w:numPr>
        <w:spacing w:lineRule="auto"/>
      </w:pPr>
      <w:r>
        <w:rPr/>
        <w:t xml:space="preserve">E1 Project — Plan the game production </w:t>
      </w:r>
      <w:r>
        <w:rPr>
          <w:color w:val="70808c"/>
          <w:sz w:val="17"/>
        </w:rPr>
        <w:t xml:space="preserve">(project (submitted evidence), E1)</w:t>
      </w:r>
    </w:p>
    <w:p>
      <w:pPr>
        <w:numPr>
          <w:ilvl w:val="0"/>
          <w:numId w:val="1"/>
        </w:numPr>
        <w:spacing w:lineRule="auto"/>
      </w:pPr>
      <w:r>
        <w:rPr/>
        <w:t xml:space="preserve">E2 Knowledge Questions — Evaluate game-engine software and tools </w:t>
      </w:r>
      <w:r>
        <w:rPr>
          <w:color w:val="70808c"/>
          <w:sz w:val="17"/>
        </w:rPr>
        <w:t xml:space="preserve">(knowledge questions, E2)</w:t>
      </w:r>
    </w:p>
    <w:p>
      <w:pPr>
        <w:numPr>
          <w:ilvl w:val="0"/>
          <w:numId w:val="1"/>
        </w:numPr>
        <w:spacing w:lineRule="auto"/>
      </w:pPr>
      <w:r>
        <w:rPr/>
        <w:t xml:space="preserve">E2 Project — Select the game engine and tools </w:t>
      </w:r>
      <w:r>
        <w:rPr>
          <w:color w:val="70808c"/>
          <w:sz w:val="17"/>
        </w:rPr>
        <w:t xml:space="preserve">(project (submitted evidence), E2)</w:t>
      </w:r>
    </w:p>
    <w:p>
      <w:pPr>
        <w:numPr>
          <w:ilvl w:val="0"/>
          <w:numId w:val="1"/>
        </w:numPr>
        <w:spacing w:lineRule="auto"/>
      </w:pPr>
      <w:r>
        <w:rPr/>
        <w:t xml:space="preserve">E3 Knowledge Questions — Prepare required assets </w:t>
      </w:r>
      <w:r>
        <w:rPr>
          <w:color w:val="70808c"/>
          <w:sz w:val="17"/>
        </w:rPr>
        <w:t xml:space="preserve">(knowledge questions, E3)</w:t>
      </w:r>
    </w:p>
    <w:p>
      <w:pPr>
        <w:numPr>
          <w:ilvl w:val="0"/>
          <w:numId w:val="1"/>
        </w:numPr>
        <w:spacing w:lineRule="auto"/>
      </w:pPr>
      <w:r>
        <w:rPr/>
        <w:t xml:space="preserve">E3 Project — Prepare and customise game assets </w:t>
      </w:r>
      <w:r>
        <w:rPr>
          <w:color w:val="70808c"/>
          <w:sz w:val="17"/>
        </w:rPr>
        <w:t xml:space="preserve">(project (submitted evidence), E3)</w:t>
      </w:r>
    </w:p>
    <w:p>
      <w:pPr>
        <w:numPr>
          <w:ilvl w:val="0"/>
          <w:numId w:val="1"/>
        </w:numPr>
        <w:spacing w:lineRule="auto"/>
      </w:pPr>
      <w:r>
        <w:rPr/>
        <w:t xml:space="preserve">E4 Knowledge Questions — Use game-engine software and development tools </w:t>
      </w:r>
      <w:r>
        <w:rPr>
          <w:color w:val="70808c"/>
          <w:sz w:val="17"/>
        </w:rPr>
        <w:t xml:space="preserve">(knowledge questions, E4)</w:t>
      </w:r>
    </w:p>
    <w:p>
      <w:pPr>
        <w:numPr>
          <w:ilvl w:val="0"/>
          <w:numId w:val="1"/>
        </w:numPr>
        <w:spacing w:lineRule="auto"/>
      </w:pPr>
      <w:r>
        <w:rPr/>
        <w:t xml:space="preserve">E4 Project — Build and run the game prototype </w:t>
      </w:r>
      <w:r>
        <w:rPr>
          <w:color w:val="70808c"/>
          <w:sz w:val="17"/>
        </w:rPr>
        <w:t xml:space="preserve">(project (submitted evidence), E4)</w:t>
      </w:r>
    </w:p>
    <w:p>
      <w:pPr>
        <w:numPr>
          <w:ilvl w:val="0"/>
          <w:numId w:val="1"/>
        </w:numPr>
        <w:spacing w:lineRule="auto"/>
      </w:pPr>
      <w:r>
        <w:rPr/>
        <w:t xml:space="preserve">E5 Knowledge Questions — Evaluate game prototype </w:t>
      </w:r>
      <w:r>
        <w:rPr>
          <w:color w:val="70808c"/>
          <w:sz w:val="17"/>
        </w:rPr>
        <w:t xml:space="preserve">(knowledge questions, E5)</w:t>
      </w:r>
    </w:p>
    <w:p>
      <w:pPr>
        <w:numPr>
          <w:ilvl w:val="0"/>
          <w:numId w:val="1"/>
        </w:numPr>
        <w:spacing w:lineRule="auto"/>
      </w:pPr>
      <w:r>
        <w:rPr/>
        <w:t xml:space="preserve">E5 Project — Evaluate and endorse the prototype </w:t>
      </w:r>
      <w:r>
        <w:rPr>
          <w:color w:val="70808c"/>
          <w:sz w:val="17"/>
        </w:rPr>
        <w:t xml:space="preserve">(project (submitted evidence), E5)</w:t>
      </w:r>
    </w:p>
    <w:p>
      <w:pPr>
        <w:numPr>
          <w:ilvl w:val="0"/>
          <w:numId w:val="1"/>
        </w:numPr>
        <w:spacing w:lineRule="auto"/>
      </w:pPr>
      <w:r>
        <w:rPr/>
        <w:t xml:space="preserve">E6 Knowledge Questions — Transform prototype into final publication </w:t>
      </w:r>
      <w:r>
        <w:rPr>
          <w:color w:val="70808c"/>
          <w:sz w:val="17"/>
        </w:rPr>
        <w:t xml:space="preserve">(knowledge questions, E6)</w:t>
      </w:r>
    </w:p>
    <w:p>
      <w:pPr>
        <w:numPr>
          <w:ilvl w:val="0"/>
          <w:numId w:val="1"/>
        </w:numPr>
        <w:spacing w:lineRule="auto"/>
      </w:pPr>
      <w:r>
        <w:rPr/>
        <w:t xml:space="preserve">E6 Project — Deliver the final publication </w:t>
      </w:r>
      <w:r>
        <w:rPr>
          <w:color w:val="70808c"/>
          <w:sz w:val="17"/>
        </w:rPr>
        <w:t xml:space="preserve">(project (submitted evidence), E6)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checklist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364"/>
        <w:gridCol w:w="3364"/>
        <w:gridCol w:w="3364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</w:t>
            </w:r>
          </w:p>
        </w:tc>
        <w:tc>
          <w:tcPr>
            <w:shd w:val="clear" w:fill="0b3d63"/>
            <w:vAlign w:val="top"/>
          </w:tcPr>
          <w:p>
            <w:pPr>
              <w:jc w:val="center"/>
              <w:spacing w:lineRule="auto"/>
            </w:pPr>
            <w:r>
              <w:rPr>
                <w:color w:val="ffffff"/>
                <w:b/>
              </w:rPr>
              <w:t xml:space="preserve">Yes / No / NA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Comment</w:t>
            </w:r>
          </w:p>
        </w:tc>
      </w:tr>
      <w:tblGrid>
        <w:gridCol w:w="3364"/>
        <w:gridCol w:w="3364"/>
        <w:gridCol w:w="3364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Tools map to all performance criteria (PC), performance evidence (PE), knowledge evidence (KE) and foundation skills (FS) — cross-check against the mapping matrix.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Assessment tools meet the principles of assessment (validity, reliability, flexibility, fairness).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Evidence gathered meets the rules of evidence (valid, sufficient, authentic, current).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Benchmark answers / decision rules are clear and consistently applied.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The assessment conditions specified by the unit are addressed.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Reasonable adjustment is provided for without compromising the competency standard.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Instructions are clear and unambiguous for students.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Findings and actions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Finding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Action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Responsible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Due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Sign-off</w:t>
      </w:r>
    </w:p>
    <w:p>
      <w:pPr>
        <w:spacing w:lineRule="auto"/>
      </w:pPr>
      <w:r>
        <w:rPr>
          <w:color w:val="70808c"/>
          <w:sz w:val="17"/>
        </w:rPr>
        <w:t xml:space="preserve">The validation panel confirms the outcomes recorded above.</w:t>
      </w:r>
    </w:p>
    <w:p>
      <w:pPr>
        <w:spacing w:lineRule="auto"/>
      </w:pPr>
      <w:r>
        <w:rPr>
          <w:color w:val="70808c"/>
          <w:sz w:val="17"/>
        </w:rPr>
        <w:t xml:space="preserve">Chairperson signature  ·  Date</w:t>
      </w:r>
    </w:p>
    <w:p>
      <w:pPr>
        <w:spacing w:lineRule="auto"/>
      </w:pPr>
      <w:r>
        <w:rPr>
          <w:color w:val="70808c"/>
          <w:sz w:val="17"/>
        </w:rPr>
        <w:t xml:space="preserve">Panel member signature  ·  Date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DRAFT validation record — to be completed during a scheduled validation session.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ICTGAM533 Create complex 3-D interactive games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Validation Record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2026-07-14T13:28:19.234Z</dcterms:created>
  <dcterms:modified xsi:type="dcterms:W3CDTF">2026-07-14T13:28:19.234Z</dcterms:modified>
</cp:coreProperties>
</file>