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1906" w:h="16838" w:orient="portrait"/>
      <w:pgMar w:top="1474" w:right="907" w:bottom="1134" w:left="907" w:header="720" w:footer="720" w:gutter="0"/>
      <w:headerReference r:id="rId6" w:type="default"/>
      <w:footerReference r:id="rId7" w:type="default"/>
    </w:sectPr>
    <w:p>
      <w:pPr>
        <w:spacing w:lineRule="auto"/>
      </w:pPr>
      <w:r>
        <w:rPr/>
        <w:t xml:space="preserve"/>
      </w:r>
    </w:p>
    <w:p>
      <w:pPr>
        <w:pStyle w:val="Heading1"/>
        <w:spacing w:lineRule="auto"/>
      </w:pPr>
      <w:r>
        <w:rPr>
          <w:color w:val="0b3d63"/>
          <w:b/>
          <w:sz w:val="36"/>
        </w:rPr>
        <w:t xml:space="preserve">Training and Assessment Strategy (TAS)</w:t>
      </w:r>
    </w:p>
    <w:p>
      <w:pPr>
        <w:spacing w:lineRule="auto"/>
      </w:pPr>
      <w:r>
        <w:rPr/>
        <w:t xml:space="preserve">MSMSUP102 — Communicate in the workplace</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shd w:val="clear" w:fill="eef3f7"/>
            <w:vAlign w:val="top"/>
            <w:tcW w:w="2250" w:type="dxa"/>
          </w:tcPr>
          <w:p>
            <w:pPr>
              <w:jc w:val="left"/>
              <w:spacing w:lineRule="auto"/>
            </w:pPr>
            <w:r>
              <w:rPr>
                <w:color w:val="0b3d63"/>
              </w:rPr>
              <w:t xml:space="preserve">RTO</w:t>
            </w:r>
          </w:p>
        </w:tc>
        <w:tc>
          <w:tcPr>
            <w:vAlign w:val="top"/>
          </w:tcPr>
          <w:p>
            <w:pPr>
              <w:spacing w:lineRule="auto"/>
            </w:pPr>
            <w:r>
              <w:rPr/>
              <w:t xml:space="preserve">[RTO name]</w:t>
            </w:r>
          </w:p>
        </w:tc>
      </w:tr>
      <w:tr>
        <w:trPr>
          <w:cantSplit/>
        </w:trPr>
        <w:tc>
          <w:tcPr>
            <w:shd w:val="clear" w:fill="eef3f7"/>
            <w:vAlign w:val="top"/>
            <w:tcW w:w="2250" w:type="dxa"/>
          </w:tcPr>
          <w:p>
            <w:pPr>
              <w:jc w:val="left"/>
              <w:spacing w:lineRule="auto"/>
            </w:pPr>
            <w:r>
              <w:rPr>
                <w:color w:val="0b3d63"/>
              </w:rPr>
              <w:t xml:space="preserve">Training package</w:t>
            </w:r>
          </w:p>
        </w:tc>
        <w:tc>
          <w:tcPr>
            <w:vAlign w:val="top"/>
          </w:tcPr>
          <w:p>
            <w:pPr>
              <w:spacing w:lineRule="auto"/>
            </w:pPr>
            <w:r>
              <w:rPr/>
              <w:t xml:space="preserve">Manufacturing Training Package</w:t>
            </w:r>
          </w:p>
        </w:tc>
      </w:tr>
      <w:tr>
        <w:trPr>
          <w:cantSplit/>
        </w:trPr>
        <w:tc>
          <w:tcPr>
            <w:shd w:val="clear" w:fill="eef3f7"/>
            <w:vAlign w:val="top"/>
            <w:tcW w:w="2250" w:type="dxa"/>
          </w:tcPr>
          <w:p>
            <w:pPr>
              <w:jc w:val="left"/>
              <w:spacing w:lineRule="auto"/>
            </w:pPr>
            <w:r>
              <w:rPr>
                <w:color w:val="0b3d63"/>
              </w:rPr>
              <w:t xml:space="preserve">Unit release</w:t>
            </w:r>
          </w:p>
        </w:tc>
        <w:tc>
          <w:tcPr>
            <w:vAlign w:val="top"/>
          </w:tcPr>
          <w:p>
            <w:pPr>
              <w:spacing w:lineRule="auto"/>
            </w:pPr>
            <w:r>
              <w:rPr/>
              <w:t xml:space="preserve">2 (current)</w:t>
            </w:r>
          </w:p>
        </w:tc>
      </w:tr>
      <w:tr>
        <w:trPr>
          <w:cantSplit/>
        </w:trPr>
        <w:tc>
          <w:tcPr>
            <w:shd w:val="clear" w:fill="eef3f7"/>
            <w:vAlign w:val="top"/>
            <w:tcW w:w="2250" w:type="dxa"/>
          </w:tcPr>
          <w:p>
            <w:pPr>
              <w:jc w:val="left"/>
              <w:spacing w:lineRule="auto"/>
            </w:pPr>
            <w:r>
              <w:rPr>
                <w:color w:val="0b3d63"/>
              </w:rPr>
              <w:t xml:space="preserve">Delivery mode</w:t>
            </w:r>
          </w:p>
        </w:tc>
        <w:tc>
          <w:tcPr>
            <w:vAlign w:val="top"/>
          </w:tcPr>
          <w:p>
            <w:pPr>
              <w:spacing w:lineRule="auto"/>
            </w:pPr>
            <w:r>
              <w:rPr/>
              <w:t xml:space="preserve">in person</w:t>
            </w:r>
          </w:p>
        </w:tc>
      </w:tr>
      <w:tr>
        <w:trPr>
          <w:cantSplit/>
        </w:trPr>
        <w:tc>
          <w:tcPr>
            <w:shd w:val="clear" w:fill="eef3f7"/>
            <w:vAlign w:val="top"/>
            <w:tcW w:w="2250" w:type="dxa"/>
          </w:tcPr>
          <w:p>
            <w:pPr>
              <w:jc w:val="left"/>
              <w:spacing w:lineRule="auto"/>
            </w:pPr>
            <w:r>
              <w:rPr>
                <w:color w:val="0b3d63"/>
              </w:rPr>
              <w:t xml:space="preserve">Document</w:t>
            </w:r>
          </w:p>
        </w:tc>
        <w:tc>
          <w:tcPr>
            <w:vAlign w:val="top"/>
          </w:tcPr>
          <w:p>
            <w:pPr>
              <w:spacing w:lineRule="auto"/>
            </w:pPr>
            <w:r>
              <w:rPr/>
              <w:t xml:space="preserve">Training &amp; Assessment Strategy · version 1.0 · review by [review date]</w:t>
            </w:r>
          </w:p>
        </w:tc>
      </w:tr>
    </w:tbl>
    <w:p>
      <w:pPr>
        <w:spacing w:lineRule="auto"/>
      </w:pPr>
      <w:r>
        <w:rPr/>
      </w:r>
    </w:p>
    <w:p>
      <w:pPr>
        <w:pStyle w:val="Heading2"/>
        <w:spacing w:lineRule="auto"/>
      </w:pPr>
      <w:r>
        <w:rPr>
          <w:color w:val="0b3d63"/>
          <w:b/>
          <w:sz w:val="26"/>
        </w:rPr>
        <w:t xml:space="preserve">1. Unit and purpose</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shd w:val="clear" w:fill="eef3f7"/>
            <w:vAlign w:val="top"/>
            <w:tcW w:w="2250" w:type="dxa"/>
          </w:tcPr>
          <w:p>
            <w:pPr>
              <w:jc w:val="left"/>
              <w:spacing w:lineRule="auto"/>
            </w:pPr>
            <w:r>
              <w:rPr>
                <w:color w:val="0b3d63"/>
              </w:rPr>
              <w:t xml:space="preserve">Unit code</w:t>
            </w:r>
          </w:p>
        </w:tc>
        <w:tc>
          <w:tcPr>
            <w:vAlign w:val="top"/>
          </w:tcPr>
          <w:p>
            <w:pPr>
              <w:spacing w:lineRule="auto"/>
            </w:pPr>
            <w:r>
              <w:rPr/>
              <w:t xml:space="preserve">MSMSUP102</w:t>
            </w:r>
          </w:p>
        </w:tc>
      </w:tr>
      <w:tr>
        <w:trPr>
          <w:cantSplit/>
        </w:trPr>
        <w:tc>
          <w:tcPr>
            <w:shd w:val="clear" w:fill="eef3f7"/>
            <w:vAlign w:val="top"/>
            <w:tcW w:w="2250" w:type="dxa"/>
          </w:tcPr>
          <w:p>
            <w:pPr>
              <w:jc w:val="left"/>
              <w:spacing w:lineRule="auto"/>
            </w:pPr>
            <w:r>
              <w:rPr>
                <w:color w:val="0b3d63"/>
              </w:rPr>
              <w:t xml:space="preserve">Unit title</w:t>
            </w:r>
          </w:p>
        </w:tc>
        <w:tc>
          <w:tcPr>
            <w:vAlign w:val="top"/>
          </w:tcPr>
          <w:p>
            <w:pPr>
              <w:spacing w:lineRule="auto"/>
            </w:pPr>
            <w:r>
              <w:rPr/>
              <w:t xml:space="preserve">Communicate in the workplace</w:t>
            </w:r>
          </w:p>
        </w:tc>
      </w:tr>
      <w:tr>
        <w:trPr>
          <w:cantSplit/>
        </w:trPr>
        <w:tc>
          <w:tcPr>
            <w:shd w:val="clear" w:fill="eef3f7"/>
            <w:vAlign w:val="top"/>
            <w:tcW w:w="2250" w:type="dxa"/>
          </w:tcPr>
          <w:p>
            <w:pPr>
              <w:jc w:val="left"/>
              <w:spacing w:lineRule="auto"/>
            </w:pPr>
            <w:r>
              <w:rPr>
                <w:color w:val="0b3d63"/>
              </w:rPr>
              <w:t xml:space="preserve">Training package</w:t>
            </w:r>
          </w:p>
        </w:tc>
        <w:tc>
          <w:tcPr>
            <w:vAlign w:val="top"/>
          </w:tcPr>
          <w:p>
            <w:pPr>
              <w:spacing w:lineRule="auto"/>
            </w:pPr>
            <w:r>
              <w:rPr/>
              <w:t xml:space="preserve">Manufacturing Training Package</w:t>
            </w:r>
          </w:p>
        </w:tc>
      </w:tr>
      <w:tr>
        <w:trPr>
          <w:cantSplit/>
        </w:trPr>
        <w:tc>
          <w:tcPr>
            <w:shd w:val="clear" w:fill="eef3f7"/>
            <w:vAlign w:val="top"/>
            <w:tcW w:w="2250" w:type="dxa"/>
          </w:tcPr>
          <w:p>
            <w:pPr>
              <w:jc w:val="left"/>
              <w:spacing w:lineRule="auto"/>
            </w:pPr>
            <w:r>
              <w:rPr>
                <w:color w:val="0b3d63"/>
              </w:rPr>
              <w:t xml:space="preserve">Release</w:t>
            </w:r>
          </w:p>
        </w:tc>
        <w:tc>
          <w:tcPr>
            <w:vAlign w:val="top"/>
          </w:tcPr>
          <w:p>
            <w:pPr>
              <w:spacing w:lineRule="auto"/>
            </w:pPr>
            <w:r>
              <w:rPr/>
              <w:t xml:space="preserve">2 (current)</w:t>
            </w:r>
          </w:p>
        </w:tc>
      </w:tr>
      <w:tr>
        <w:trPr>
          <w:cantSplit/>
        </w:trPr>
        <w:tc>
          <w:tcPr>
            <w:shd w:val="clear" w:fill="eef3f7"/>
            <w:vAlign w:val="top"/>
            <w:tcW w:w="2250" w:type="dxa"/>
          </w:tcPr>
          <w:p>
            <w:pPr>
              <w:jc w:val="left"/>
              <w:spacing w:lineRule="auto"/>
            </w:pPr>
            <w:r>
              <w:rPr>
                <w:color w:val="0b3d63"/>
              </w:rPr>
              <w:t xml:space="preserve">Unit sector</w:t>
            </w:r>
          </w:p>
        </w:tc>
        <w:tc>
          <w:tcPr>
            <w:vAlign w:val="top"/>
          </w:tcPr>
          <w:p>
            <w:pPr>
              <w:spacing w:lineRule="auto"/>
            </w:pPr>
            <w:r>
              <w:rPr/>
              <w:t xml:space="preserve">Support</w:t>
            </w:r>
          </w:p>
        </w:tc>
      </w:tr>
    </w:tbl>
    <w:p>
      <w:pPr>
        <w:spacing w:lineRule="auto"/>
      </w:pPr>
      <w:r>
        <w:rPr/>
      </w:r>
    </w:p>
    <w:p>
      <w:pPr>
        <w:pStyle w:val="Heading3"/>
        <w:spacing w:lineRule="auto"/>
      </w:pPr>
      <w:r>
        <w:rPr>
          <w:color w:val="0b3d63"/>
          <w:b/>
          <w:sz w:val="22"/>
        </w:rPr>
        <w:t xml:space="preserve">Application</w:t>
      </w:r>
    </w:p>
    <w:p>
      <w:pPr>
        <w:spacing w:lineRule="auto"/>
      </w:pPr>
      <w:r>
        <w:rPr/>
        <w:t xml:space="preserve">This unit describes the skills and knowledge required to receive, relay and record written and oral messages and to provide relevant information in response to requests within timelines.  This unit applies to personnel who are required to communicate clearly and accurately to record messages, seek clarification, access needed information, relay information to other people and complete workplace documentation. This unit applies to all work environments. No licensing or certification requirements exist at the time of publication. Relevant legislation, industry standards and codes of practice within Australia must also be applied.</w:t>
      </w:r>
    </w:p>
    <w:p>
      <w:pPr>
        <w:pStyle w:val="Heading2"/>
        <w:spacing w:lineRule="auto"/>
      </w:pPr>
      <w:r>
        <w:rPr>
          <w:color w:val="0b3d63"/>
          <w:b/>
          <w:sz w:val="26"/>
        </w:rPr>
        <w:t xml:space="preserve">2. Target cohort and entry</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shd w:val="clear" w:fill="eef3f7"/>
            <w:vAlign w:val="top"/>
            <w:tcW w:w="2250" w:type="dxa"/>
          </w:tcPr>
          <w:p>
            <w:pPr>
              <w:jc w:val="left"/>
              <w:spacing w:lineRule="auto"/>
            </w:pPr>
            <w:r>
              <w:rPr>
                <w:color w:val="0b3d63"/>
              </w:rPr>
              <w:t xml:space="preserve">Target cohort</w:t>
            </w:r>
          </w:p>
        </w:tc>
        <w:tc>
          <w:tcPr>
            <w:vAlign w:val="top"/>
          </w:tcPr>
          <w:p>
            <w:pPr>
              <w:spacing w:lineRule="auto"/>
            </w:pPr>
            <w:r>
              <w:rPr/>
              <w:t xml:space="preserve">New to plant processing industry</w:t>
            </w:r>
          </w:p>
        </w:tc>
      </w:tr>
      <w:tr>
        <w:trPr>
          <w:cantSplit/>
        </w:trPr>
        <w:tc>
          <w:tcPr>
            <w:shd w:val="clear" w:fill="eef3f7"/>
            <w:vAlign w:val="top"/>
            <w:tcW w:w="2250" w:type="dxa"/>
          </w:tcPr>
          <w:p>
            <w:pPr>
              <w:jc w:val="left"/>
              <w:spacing w:lineRule="auto"/>
            </w:pPr>
            <w:r>
              <w:rPr>
                <w:color w:val="0b3d63"/>
              </w:rPr>
              <w:t xml:space="preserve">Entry requirements</w:t>
            </w:r>
          </w:p>
        </w:tc>
        <w:tc>
          <w:tcPr>
            <w:vAlign w:val="top"/>
          </w:tcPr>
          <w:p>
            <w:pPr>
              <w:spacing w:lineRule="auto"/>
            </w:pPr>
            <w:r>
              <w:rPr>
                <w:color w:val="b00000"/>
                <w:b/>
              </w:rPr>
              <w:t xml:space="preserve">ACTION ITEM:</w:t>
            </w:r>
            <w:r>
              <w:rPr>
                <w:color w:val="b00000"/>
                <w:b/>
              </w:rPr>
              <w:t xml:space="preserve"> confirm entry requirements for this cohort (RTO-specific).</w:t>
            </w:r>
          </w:p>
        </w:tc>
      </w:tr>
      <w:tr>
        <w:trPr>
          <w:cantSplit/>
        </w:trPr>
        <w:tc>
          <w:tcPr>
            <w:shd w:val="clear" w:fill="eef3f7"/>
            <w:vAlign w:val="top"/>
            <w:tcW w:w="2250" w:type="dxa"/>
          </w:tcPr>
          <w:p>
            <w:pPr>
              <w:jc w:val="left"/>
              <w:spacing w:lineRule="auto"/>
            </w:pPr>
            <w:r>
              <w:rPr>
                <w:color w:val="0b3d63"/>
              </w:rPr>
              <w:t xml:space="preserve">LLN considerations</w:t>
            </w:r>
          </w:p>
        </w:tc>
        <w:tc>
          <w:tcPr>
            <w:vAlign w:val="top"/>
          </w:tcPr>
          <w:p>
            <w:pPr>
              <w:spacing w:lineRule="auto"/>
            </w:pPr>
            <w:r>
              <w:rPr/>
              <w:t xml:space="preserve">[to be completed by RTO]</w:t>
            </w:r>
          </w:p>
        </w:tc>
      </w:tr>
    </w:tbl>
    <w:p>
      <w:pPr>
        <w:spacing w:lineRule="auto"/>
      </w:pPr>
      <w:r>
        <w:rPr/>
      </w:r>
    </w:p>
    <w:p>
      <w:pPr>
        <w:spacing w:lineRule="auto"/>
      </w:pPr>
      <w:r>
        <w:rPr>
          <w:color w:val="b00000"/>
          <w:b/>
        </w:rPr>
        <w:t xml:space="preserve">ACTION ITEM:</w:t>
      </w:r>
      <w:r>
        <w:rPr>
          <w:color w:val="b00000"/>
          <w:b/>
        </w:rPr>
        <w:t xml:space="preserve"> Record pre-enrolment language, literacy and numeracy (LLN) outcomes for this cohort, in line with the 2025 Standards for RTOs.</w:t>
      </w:r>
    </w:p>
    <w:p>
      <w:pPr>
        <w:pStyle w:val="Heading2"/>
        <w:spacing w:lineRule="auto"/>
      </w:pPr>
      <w:r>
        <w:rPr>
          <w:color w:val="0b3d63"/>
          <w:b/>
          <w:sz w:val="26"/>
        </w:rPr>
        <w:t xml:space="preserve">3. Delivery approach</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shd w:val="clear" w:fill="eef3f7"/>
            <w:vAlign w:val="top"/>
            <w:tcW w:w="2250" w:type="dxa"/>
          </w:tcPr>
          <w:p>
            <w:pPr>
              <w:jc w:val="left"/>
              <w:spacing w:lineRule="auto"/>
            </w:pPr>
            <w:r>
              <w:rPr>
                <w:color w:val="0b3d63"/>
              </w:rPr>
              <w:t xml:space="preserve">Delivery mode</w:t>
            </w:r>
          </w:p>
        </w:tc>
        <w:tc>
          <w:tcPr>
            <w:vAlign w:val="top"/>
          </w:tcPr>
          <w:p>
            <w:pPr>
              <w:spacing w:lineRule="auto"/>
            </w:pPr>
            <w:r>
              <w:rPr/>
              <w:t xml:space="preserve">in person</w:t>
            </w:r>
          </w:p>
        </w:tc>
      </w:tr>
      <w:tr>
        <w:trPr>
          <w:cantSplit/>
        </w:trPr>
        <w:tc>
          <w:tcPr>
            <w:shd w:val="clear" w:fill="eef3f7"/>
            <w:vAlign w:val="top"/>
            <w:tcW w:w="2250" w:type="dxa"/>
          </w:tcPr>
          <w:p>
            <w:pPr>
              <w:jc w:val="left"/>
              <w:spacing w:lineRule="auto"/>
            </w:pPr>
            <w:r>
              <w:rPr>
                <w:color w:val="0b3d63"/>
              </w:rPr>
              <w:t xml:space="preserve">AQF level</w:t>
            </w:r>
          </w:p>
        </w:tc>
        <w:tc>
          <w:tcPr>
            <w:vAlign w:val="top"/>
          </w:tcPr>
          <w:p>
            <w:pPr>
              <w:spacing w:lineRule="auto"/>
            </w:pPr>
            <w:r>
              <w:rPr/>
              <w:t xml:space="preserve">AQF 3</w:t>
            </w:r>
          </w:p>
        </w:tc>
      </w:tr>
      <w:tr>
        <w:trPr>
          <w:cantSplit/>
        </w:trPr>
        <w:tc>
          <w:tcPr>
            <w:shd w:val="clear" w:fill="eef3f7"/>
            <w:vAlign w:val="top"/>
            <w:tcW w:w="2250" w:type="dxa"/>
          </w:tcPr>
          <w:p>
            <w:pPr>
              <w:jc w:val="left"/>
              <w:spacing w:lineRule="auto"/>
            </w:pPr>
            <w:r>
              <w:rPr>
                <w:color w:val="0b3d63"/>
              </w:rPr>
              <w:t xml:space="preserve">Duration</w:t>
            </w:r>
          </w:p>
        </w:tc>
        <w:tc>
          <w:tcPr>
            <w:vAlign w:val="top"/>
          </w:tcPr>
          <w:p>
            <w:pPr>
              <w:spacing w:lineRule="auto"/>
            </w:pPr>
            <w:r>
              <w:rPr/>
              <w:t xml:space="preserve">1 weeks</w:t>
            </w:r>
          </w:p>
        </w:tc>
      </w:tr>
      <w:tr>
        <w:trPr>
          <w:cantSplit/>
        </w:trPr>
        <w:tc>
          <w:tcPr>
            <w:shd w:val="clear" w:fill="eef3f7"/>
            <w:vAlign w:val="top"/>
            <w:tcW w:w="2250" w:type="dxa"/>
          </w:tcPr>
          <w:p>
            <w:pPr>
              <w:jc w:val="left"/>
              <w:spacing w:lineRule="auto"/>
            </w:pPr>
            <w:r>
              <w:rPr>
                <w:color w:val="0b3d63"/>
              </w:rPr>
              <w:t xml:space="preserve">Volume of learning</w:t>
            </w:r>
          </w:p>
        </w:tc>
        <w:tc>
          <w:tcPr>
            <w:vAlign w:val="top"/>
          </w:tcPr>
          <w:p>
            <w:pPr>
              <w:spacing w:lineRule="auto"/>
            </w:pPr>
            <w:r>
              <w:rPr/>
              <w:t xml:space="preserve">20 hours</w:t>
            </w:r>
          </w:p>
        </w:tc>
      </w:tr>
      <w:tr>
        <w:trPr>
          <w:cantSplit/>
        </w:trPr>
        <w:tc>
          <w:tcPr>
            <w:shd w:val="clear" w:fill="eef3f7"/>
            <w:vAlign w:val="top"/>
            <w:tcW w:w="2250" w:type="dxa"/>
          </w:tcPr>
          <w:p>
            <w:pPr>
              <w:jc w:val="left"/>
              <w:spacing w:lineRule="auto"/>
            </w:pPr>
            <w:r>
              <w:rPr>
                <w:color w:val="0b3d63"/>
              </w:rPr>
              <w:t xml:space="preserve">Amount of training</w:t>
            </w:r>
          </w:p>
        </w:tc>
        <w:tc>
          <w:tcPr>
            <w:vAlign w:val="top"/>
          </w:tcPr>
          <w:p>
            <w:pPr>
              <w:spacing w:lineRule="auto"/>
            </w:pPr>
            <w:r>
              <w:rPr/>
              <w:t xml:space="preserve">7 hours (supervised)</w:t>
            </w:r>
          </w:p>
        </w:tc>
      </w:tr>
      <w:tr>
        <w:trPr>
          <w:cantSplit/>
        </w:trPr>
        <w:tc>
          <w:tcPr>
            <w:shd w:val="clear" w:fill="eef3f7"/>
            <w:vAlign w:val="top"/>
            <w:tcW w:w="2250" w:type="dxa"/>
          </w:tcPr>
          <w:p>
            <w:pPr>
              <w:jc w:val="left"/>
              <w:spacing w:lineRule="auto"/>
            </w:pPr>
            <w:r>
              <w:rPr>
                <w:color w:val="0b3d63"/>
              </w:rPr>
              <w:t xml:space="preserve">Clustering</w:t>
            </w:r>
          </w:p>
        </w:tc>
        <w:tc>
          <w:tcPr>
            <w:vAlign w:val="top"/>
          </w:tcPr>
          <w:p>
            <w:pPr>
              <w:spacing w:lineRule="auto"/>
            </w:pPr>
            <w:r>
              <w:rPr/>
              <w:t xml:space="preserve">This unit is delivered and assessed as a stand-alone unit.</w:t>
            </w:r>
          </w:p>
        </w:tc>
      </w:tr>
    </w:tbl>
    <w:p>
      <w:pPr>
        <w:spacing w:lineRule="auto"/>
      </w:pPr>
      <w:r>
        <w:rPr/>
      </w:r>
    </w:p>
    <w:p>
      <w:pPr>
        <w:pStyle w:val="Heading2"/>
        <w:spacing w:lineRule="auto"/>
      </w:pPr>
      <w:r>
        <w:rPr>
          <w:color w:val="0b3d63"/>
          <w:b/>
          <w:sz w:val="26"/>
        </w:rPr>
        <w:t xml:space="preserve">4. Learning resources and facilities</w:t>
      </w:r>
    </w:p>
    <w:p>
      <w:pPr>
        <w:numPr>
          <w:ilvl w:val="0"/>
          <w:numId w:val="1"/>
        </w:numPr>
        <w:spacing w:lineRule="auto"/>
      </w:pPr>
      <w:r>
        <w:rPr/>
        <w:t xml:space="preserve">Classroom</w:t>
      </w:r>
    </w:p>
    <w:p>
      <w:pPr>
        <w:numPr>
          <w:ilvl w:val="0"/>
          <w:numId w:val="1"/>
        </w:numPr>
        <w:spacing w:lineRule="auto"/>
      </w:pPr>
      <w:r>
        <w:rPr/>
        <w:t xml:space="preserve">Simulated processing plant</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5046"/>
        <w:gridCol w:w="5046"/>
      </w:tblGrid>
      <w:tr>
        <w:trPr>
          <w:cantSplit/>
        </w:trPr>
        <w:tc>
          <w:tcPr>
            <w:shd w:val="clear" w:fill="eef3f7"/>
            <w:vAlign w:val="top"/>
            <w:tcW w:w="2250" w:type="dxa"/>
          </w:tcPr>
          <w:p>
            <w:pPr>
              <w:jc w:val="left"/>
              <w:spacing w:lineRule="auto"/>
            </w:pPr>
            <w:r>
              <w:rPr>
                <w:color w:val="0b3d63"/>
              </w:rPr>
              <w:t xml:space="preserve">Simulated environment</w:t>
            </w:r>
          </w:p>
        </w:tc>
        <w:tc>
          <w:tcPr>
            <w:vAlign w:val="top"/>
          </w:tcPr>
          <w:p>
            <w:pPr>
              <w:spacing w:lineRule="auto"/>
            </w:pPr>
            <w:r>
              <w:rPr>
                <w:color w:val="1a7a35"/>
                <w:b/>
              </w:rPr>
              <w:t xml:space="preserve">Yes</w:t>
            </w:r>
          </w:p>
        </w:tc>
      </w:tr>
      <w:tr>
        <w:trPr>
          <w:cantSplit/>
        </w:trPr>
        <w:tc>
          <w:tcPr>
            <w:shd w:val="clear" w:fill="eef3f7"/>
            <w:vAlign w:val="top"/>
            <w:tcW w:w="2250" w:type="dxa"/>
          </w:tcPr>
          <w:p>
            <w:pPr>
              <w:jc w:val="left"/>
              <w:spacing w:lineRule="auto"/>
            </w:pPr>
            <w:r>
              <w:rPr>
                <w:color w:val="0b3d63"/>
              </w:rPr>
              <w:t xml:space="preserve">Simulation detail</w:t>
            </w:r>
          </w:p>
        </w:tc>
        <w:tc>
          <w:tcPr>
            <w:vAlign w:val="top"/>
          </w:tcPr>
          <w:p>
            <w:pPr>
              <w:spacing w:lineRule="auto"/>
            </w:pPr>
            <w:r>
              <w:rPr/>
              <w:t xml:space="preserve">[describe how the simulation reflects the workplace]</w:t>
            </w:r>
          </w:p>
        </w:tc>
      </w:tr>
      <w:tr>
        <w:trPr>
          <w:cantSplit/>
        </w:trPr>
        <w:tc>
          <w:tcPr>
            <w:shd w:val="clear" w:fill="eef3f7"/>
            <w:vAlign w:val="top"/>
            <w:tcW w:w="2250" w:type="dxa"/>
          </w:tcPr>
          <w:p>
            <w:pPr>
              <w:jc w:val="left"/>
              <w:spacing w:lineRule="auto"/>
            </w:pPr>
            <w:r>
              <w:rPr>
                <w:color w:val="0b3d63"/>
              </w:rPr>
              <w:t xml:space="preserve">Work placement</w:t>
            </w:r>
          </w:p>
        </w:tc>
        <w:tc>
          <w:tcPr>
            <w:vAlign w:val="top"/>
          </w:tcPr>
          <w:p>
            <w:pPr>
              <w:spacing w:lineRule="auto"/>
            </w:pPr>
            <w:r>
              <w:rPr>
                <w:color w:val="70808c"/>
                <w:sz w:val="17"/>
              </w:rPr>
              <w:t xml:space="preserve">No</w:t>
            </w:r>
          </w:p>
        </w:tc>
      </w:tr>
    </w:tbl>
    <w:p>
      <w:pPr>
        <w:spacing w:lineRule="auto"/>
      </w:pPr>
      <w:r>
        <w:rPr/>
      </w:r>
    </w:p>
    <w:p>
      <w:pPr>
        <w:pStyle w:val="Heading2"/>
        <w:spacing w:lineRule="auto"/>
      </w:pPr>
      <w:r>
        <w:rPr>
          <w:color w:val="0b3d63"/>
          <w:b/>
          <w:sz w:val="26"/>
        </w:rPr>
        <w:t xml:space="preserve">Practical assessment arrangement</w:t>
      </w:r>
    </w:p>
    <w:p>
      <w:pPr>
        <w:spacing w:lineRule="auto"/>
      </w:pPr>
      <w:r>
        <w:rPr>
          <w:color w:val="70808c"/>
          <w:sz w:val="17"/>
        </w:rPr>
        <w:t xml:space="preserve">The unit's assessment conditions require a hands-on assessment environment. Assessment cannot be completed by online knowledge tasks alone.</w:t>
      </w:r>
    </w:p>
    <w:p>
      <w:pPr>
        <w:spacing w:lineRule="auto"/>
      </w:pPr>
      <w:r>
        <w:rPr/>
        <w:t xml:space="preserve">The following practical assessment arrangement satisfies the unit's assessment conditions:</w:t>
      </w:r>
    </w:p>
    <w:p>
      <w:pPr>
        <w:numPr>
          <w:ilvl w:val="0"/>
          <w:numId w:val="2"/>
        </w:numPr>
        <w:spacing w:lineRule="auto"/>
      </w:pPr>
      <w:r>
        <w:rPr/>
        <w:t xml:space="preserve">Simulated environment</w:t>
      </w:r>
    </w:p>
    <w:p>
      <w:pPr>
        <w:numPr>
          <w:ilvl w:val="0"/>
          <w:numId w:val="2"/>
        </w:numPr>
        <w:spacing w:lineRule="auto"/>
      </w:pPr>
      <w:r>
        <w:rPr/>
        <w:t xml:space="preserve">RTO facility / equipment: Classroom, Simulated processing plant</w:t>
      </w:r>
    </w:p>
    <w:p>
      <w:pPr>
        <w:pStyle w:val="Heading2"/>
        <w:spacing w:lineRule="auto"/>
      </w:pPr>
      <w:r>
        <w:rPr>
          <w:color w:val="0b3d63"/>
          <w:b/>
          <w:sz w:val="26"/>
        </w:rPr>
        <w:t xml:space="preserve">5. Assessment strategy</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2523"/>
        <w:gridCol w:w="2523"/>
        <w:gridCol w:w="2523"/>
        <w:gridCol w:w="2523"/>
      </w:tblGrid>
      <w:tr>
        <w:trPr>
          <w:cantSplit/>
        </w:trPr>
        <w:tc>
          <w:tcPr>
            <w:shd w:val="clear" w:fill="0b3d63"/>
            <w:vAlign w:val="top"/>
          </w:tcPr>
          <w:p>
            <w:pPr>
              <w:jc w:val="left"/>
              <w:spacing w:lineRule="auto"/>
            </w:pPr>
            <w:r>
              <w:rPr>
                <w:color w:val="ffffff"/>
                <w:b/>
              </w:rPr>
              <w:t xml:space="preserve">Activity</w:t>
            </w:r>
          </w:p>
        </w:tc>
        <w:tc>
          <w:tcPr>
            <w:shd w:val="clear" w:fill="0b3d63"/>
            <w:vAlign w:val="top"/>
          </w:tcPr>
          <w:p>
            <w:pPr>
              <w:jc w:val="left"/>
              <w:spacing w:lineRule="auto"/>
            </w:pPr>
            <w:r>
              <w:rPr>
                <w:color w:val="ffffff"/>
                <w:b/>
              </w:rPr>
              <w:t xml:space="preserve">Element</w:t>
            </w:r>
          </w:p>
        </w:tc>
        <w:tc>
          <w:tcPr>
            <w:shd w:val="clear" w:fill="0b3d63"/>
            <w:vAlign w:val="top"/>
          </w:tcPr>
          <w:p>
            <w:pPr>
              <w:jc w:val="left"/>
              <w:spacing w:lineRule="auto"/>
            </w:pPr>
            <w:r>
              <w:rPr>
                <w:color w:val="ffffff"/>
                <w:b/>
              </w:rPr>
              <w:t xml:space="preserve">Method</w:t>
            </w:r>
          </w:p>
        </w:tc>
        <w:tc>
          <w:tcPr>
            <w:shd w:val="clear" w:fill="0b3d63"/>
            <w:vAlign w:val="top"/>
          </w:tcPr>
          <w:p>
            <w:pPr>
              <w:jc w:val="left"/>
              <w:spacing w:lineRule="auto"/>
            </w:pPr>
            <w:r>
              <w:rPr>
                <w:color w:val="ffffff"/>
                <w:b/>
              </w:rPr>
              <w:t xml:space="preserve">Items</w:t>
            </w:r>
          </w:p>
        </w:tc>
      </w:tr>
      <w:tblGrid>
        <w:gridCol w:w="2523"/>
        <w:gridCol w:w="2523"/>
        <w:gridCol w:w="2523"/>
        <w:gridCol w:w="2523"/>
      </w:tblGrid>
      <w:tr>
        <w:trPr>
          <w:cantSplit/>
        </w:trPr>
        <w:tc>
          <w:tcPr>
            <w:vAlign w:val="top"/>
          </w:tcPr>
          <w:p>
            <w:pPr>
              <w:spacing w:lineRule="auto"/>
            </w:pPr>
            <w:r>
              <w:rPr/>
              <w:t xml:space="preserve">E1 Knowledge Questions — Receiving and relaying messages</w:t>
            </w:r>
          </w:p>
        </w:tc>
        <w:tc>
          <w:tcPr>
            <w:vAlign w:val="top"/>
          </w:tcPr>
          <w:p>
            <w:pPr>
              <w:spacing w:lineRule="auto"/>
            </w:pPr>
            <w:r>
              <w:rPr/>
              <w:t xml:space="preserve">E1 — Receive and relay messages</w:t>
            </w:r>
          </w:p>
        </w:tc>
        <w:tc>
          <w:tcPr>
            <w:vAlign w:val="top"/>
          </w:tcPr>
          <w:p>
            <w:pPr>
              <w:spacing w:lineRule="auto"/>
            </w:pPr>
            <w:r>
              <w:rPr/>
              <w:t xml:space="preserve">knowledge questions</w:t>
            </w:r>
          </w:p>
        </w:tc>
        <w:tc>
          <w:tcPr>
            <w:vAlign w:val="top"/>
          </w:tcPr>
          <w:p>
            <w:pPr>
              <w:jc w:val="center"/>
              <w:spacing w:lineRule="auto"/>
            </w:pPr>
            <w:r>
              <w:rPr/>
              <w:t xml:space="preserve">4</w:t>
            </w:r>
          </w:p>
        </w:tc>
      </w:tr>
      <w:tr>
        <w:trPr>
          <w:cantSplit/>
        </w:trPr>
        <w:tc>
          <w:tcPr>
            <w:vAlign w:val="top"/>
          </w:tcPr>
          <w:p>
            <w:pPr>
              <w:spacing w:lineRule="auto"/>
            </w:pPr>
            <w:r>
              <w:rPr/>
              <w:t xml:space="preserve">E1 Observation — Receive, record and relay a message</w:t>
            </w:r>
          </w:p>
        </w:tc>
        <w:tc>
          <w:tcPr>
            <w:vAlign w:val="top"/>
          </w:tcPr>
          <w:p>
            <w:pPr>
              <w:spacing w:lineRule="auto"/>
            </w:pPr>
            <w:r>
              <w:rPr/>
              <w:t xml:space="preserve">E1 — Receive and relay messages</w:t>
            </w:r>
          </w:p>
        </w:tc>
        <w:tc>
          <w:tcPr>
            <w:vAlign w:val="top"/>
          </w:tcPr>
          <w:p>
            <w:pPr>
              <w:spacing w:lineRule="auto"/>
            </w:pPr>
            <w:r>
              <w:rPr/>
              <w:t xml:space="preserve">observation</w:t>
            </w:r>
          </w:p>
        </w:tc>
        <w:tc>
          <w:tcPr>
            <w:vAlign w:val="top"/>
          </w:tcPr>
          <w:p>
            <w:pPr>
              <w:jc w:val="center"/>
              <w:spacing w:lineRule="auto"/>
            </w:pPr>
            <w:r>
              <w:rPr/>
              <w:t xml:space="preserve">3</w:t>
            </w:r>
          </w:p>
        </w:tc>
      </w:tr>
      <w:tr>
        <w:trPr>
          <w:cantSplit/>
        </w:trPr>
        <w:tc>
          <w:tcPr>
            <w:vAlign w:val="top"/>
          </w:tcPr>
          <w:p>
            <w:pPr>
              <w:spacing w:lineRule="auto"/>
            </w:pPr>
            <w:r>
              <w:rPr/>
              <w:t xml:space="preserve">E2 Knowledge Questions — Interpreting messages</w:t>
            </w:r>
          </w:p>
        </w:tc>
        <w:tc>
          <w:tcPr>
            <w:vAlign w:val="top"/>
          </w:tcPr>
          <w:p>
            <w:pPr>
              <w:spacing w:lineRule="auto"/>
            </w:pPr>
            <w:r>
              <w:rPr/>
              <w:t xml:space="preserve">E2 — Interpret messages</w:t>
            </w:r>
          </w:p>
        </w:tc>
        <w:tc>
          <w:tcPr>
            <w:vAlign w:val="top"/>
          </w:tcPr>
          <w:p>
            <w:pPr>
              <w:spacing w:lineRule="auto"/>
            </w:pPr>
            <w:r>
              <w:rPr/>
              <w:t xml:space="preserve">knowledge questions</w:t>
            </w:r>
          </w:p>
        </w:tc>
        <w:tc>
          <w:tcPr>
            <w:vAlign w:val="top"/>
          </w:tcPr>
          <w:p>
            <w:pPr>
              <w:jc w:val="center"/>
              <w:spacing w:lineRule="auto"/>
            </w:pPr>
            <w:r>
              <w:rPr/>
              <w:t xml:space="preserve">3</w:t>
            </w:r>
          </w:p>
        </w:tc>
      </w:tr>
      <w:tr>
        <w:trPr>
          <w:cantSplit/>
        </w:trPr>
        <w:tc>
          <w:tcPr>
            <w:vAlign w:val="top"/>
          </w:tcPr>
          <w:p>
            <w:pPr>
              <w:spacing w:lineRule="auto"/>
            </w:pPr>
            <w:r>
              <w:rPr/>
              <w:t xml:space="preserve">E2 Observation — Interpret a message and act</w:t>
            </w:r>
          </w:p>
        </w:tc>
        <w:tc>
          <w:tcPr>
            <w:vAlign w:val="top"/>
          </w:tcPr>
          <w:p>
            <w:pPr>
              <w:spacing w:lineRule="auto"/>
            </w:pPr>
            <w:r>
              <w:rPr/>
              <w:t xml:space="preserve">E2 — Interpret messages</w:t>
            </w:r>
          </w:p>
        </w:tc>
        <w:tc>
          <w:tcPr>
            <w:vAlign w:val="top"/>
          </w:tcPr>
          <w:p>
            <w:pPr>
              <w:spacing w:lineRule="auto"/>
            </w:pPr>
            <w:r>
              <w:rPr/>
              <w:t xml:space="preserve">observation</w:t>
            </w:r>
          </w:p>
        </w:tc>
        <w:tc>
          <w:tcPr>
            <w:vAlign w:val="top"/>
          </w:tcPr>
          <w:p>
            <w:pPr>
              <w:jc w:val="center"/>
              <w:spacing w:lineRule="auto"/>
            </w:pPr>
            <w:r>
              <w:rPr/>
              <w:t xml:space="preserve">3</w:t>
            </w:r>
          </w:p>
        </w:tc>
      </w:tr>
      <w:tr>
        <w:trPr>
          <w:cantSplit/>
        </w:trPr>
        <w:tc>
          <w:tcPr>
            <w:vAlign w:val="top"/>
          </w:tcPr>
          <w:p>
            <w:pPr>
              <w:spacing w:lineRule="auto"/>
            </w:pPr>
            <w:r>
              <w:rPr/>
              <w:t xml:space="preserve">E3 Knowledge Questions — Responding to requests for information</w:t>
            </w:r>
          </w:p>
        </w:tc>
        <w:tc>
          <w:tcPr>
            <w:vAlign w:val="top"/>
          </w:tcPr>
          <w:p>
            <w:pPr>
              <w:spacing w:lineRule="auto"/>
            </w:pPr>
            <w:r>
              <w:rPr/>
              <w:t xml:space="preserve">E3 — Respond to request for information</w:t>
            </w:r>
          </w:p>
        </w:tc>
        <w:tc>
          <w:tcPr>
            <w:vAlign w:val="top"/>
          </w:tcPr>
          <w:p>
            <w:pPr>
              <w:spacing w:lineRule="auto"/>
            </w:pPr>
            <w:r>
              <w:rPr/>
              <w:t xml:space="preserve">knowledge questions</w:t>
            </w:r>
          </w:p>
        </w:tc>
        <w:tc>
          <w:tcPr>
            <w:vAlign w:val="top"/>
          </w:tcPr>
          <w:p>
            <w:pPr>
              <w:jc w:val="center"/>
              <w:spacing w:lineRule="auto"/>
            </w:pPr>
            <w:r>
              <w:rPr/>
              <w:t xml:space="preserve">3</w:t>
            </w:r>
          </w:p>
        </w:tc>
      </w:tr>
      <w:tr>
        <w:trPr>
          <w:cantSplit/>
        </w:trPr>
        <w:tc>
          <w:tcPr>
            <w:vAlign w:val="top"/>
          </w:tcPr>
          <w:p>
            <w:pPr>
              <w:spacing w:lineRule="auto"/>
            </w:pPr>
            <w:r>
              <w:rPr/>
              <w:t xml:space="preserve">E3 Observation — Respond to a request for information</w:t>
            </w:r>
          </w:p>
        </w:tc>
        <w:tc>
          <w:tcPr>
            <w:vAlign w:val="top"/>
          </w:tcPr>
          <w:p>
            <w:pPr>
              <w:spacing w:lineRule="auto"/>
            </w:pPr>
            <w:r>
              <w:rPr/>
              <w:t xml:space="preserve">E3 — Respond to request for information</w:t>
            </w:r>
          </w:p>
        </w:tc>
        <w:tc>
          <w:tcPr>
            <w:vAlign w:val="top"/>
          </w:tcPr>
          <w:p>
            <w:pPr>
              <w:spacing w:lineRule="auto"/>
            </w:pPr>
            <w:r>
              <w:rPr/>
              <w:t xml:space="preserve">observation</w:t>
            </w:r>
          </w:p>
        </w:tc>
        <w:tc>
          <w:tcPr>
            <w:vAlign w:val="top"/>
          </w:tcPr>
          <w:p>
            <w:pPr>
              <w:jc w:val="center"/>
              <w:spacing w:lineRule="auto"/>
            </w:pPr>
            <w:r>
              <w:rPr/>
              <w:t xml:space="preserve">3</w:t>
            </w:r>
          </w:p>
        </w:tc>
      </w:tr>
      <w:tr>
        <w:trPr>
          <w:cantSplit/>
        </w:trPr>
        <w:tc>
          <w:tcPr>
            <w:vAlign w:val="top"/>
          </w:tcPr>
          <w:p>
            <w:pPr>
              <w:spacing w:lineRule="auto"/>
            </w:pPr>
            <w:r>
              <w:rPr/>
              <w:t xml:space="preserve">E4 Knowledge Questions — Completing workplace forms</w:t>
            </w:r>
          </w:p>
        </w:tc>
        <w:tc>
          <w:tcPr>
            <w:vAlign w:val="top"/>
          </w:tcPr>
          <w:p>
            <w:pPr>
              <w:spacing w:lineRule="auto"/>
            </w:pPr>
            <w:r>
              <w:rPr/>
              <w:t xml:space="preserve">E4 — Complete workplace forms</w:t>
            </w:r>
          </w:p>
        </w:tc>
        <w:tc>
          <w:tcPr>
            <w:vAlign w:val="top"/>
          </w:tcPr>
          <w:p>
            <w:pPr>
              <w:spacing w:lineRule="auto"/>
            </w:pPr>
            <w:r>
              <w:rPr/>
              <w:t xml:space="preserve">knowledge questions</w:t>
            </w:r>
          </w:p>
        </w:tc>
        <w:tc>
          <w:tcPr>
            <w:vAlign w:val="top"/>
          </w:tcPr>
          <w:p>
            <w:pPr>
              <w:jc w:val="center"/>
              <w:spacing w:lineRule="auto"/>
            </w:pPr>
            <w:r>
              <w:rPr/>
              <w:t xml:space="preserve">2</w:t>
            </w:r>
          </w:p>
        </w:tc>
      </w:tr>
      <w:tr>
        <w:trPr>
          <w:cantSplit/>
        </w:trPr>
        <w:tc>
          <w:tcPr>
            <w:vAlign w:val="top"/>
          </w:tcPr>
          <w:p>
            <w:pPr>
              <w:spacing w:lineRule="auto"/>
            </w:pPr>
            <w:r>
              <w:rPr/>
              <w:t xml:space="preserve">E4 Observation — Complete and submit a workplace form</w:t>
            </w:r>
          </w:p>
        </w:tc>
        <w:tc>
          <w:tcPr>
            <w:vAlign w:val="top"/>
          </w:tcPr>
          <w:p>
            <w:pPr>
              <w:spacing w:lineRule="auto"/>
            </w:pPr>
            <w:r>
              <w:rPr/>
              <w:t xml:space="preserve">E4 — Complete workplace forms</w:t>
            </w:r>
          </w:p>
        </w:tc>
        <w:tc>
          <w:tcPr>
            <w:vAlign w:val="top"/>
          </w:tcPr>
          <w:p>
            <w:pPr>
              <w:spacing w:lineRule="auto"/>
            </w:pPr>
            <w:r>
              <w:rPr/>
              <w:t xml:space="preserve">observation</w:t>
            </w:r>
          </w:p>
        </w:tc>
        <w:tc>
          <w:tcPr>
            <w:vAlign w:val="top"/>
          </w:tcPr>
          <w:p>
            <w:pPr>
              <w:jc w:val="center"/>
              <w:spacing w:lineRule="auto"/>
            </w:pPr>
            <w:r>
              <w:rPr/>
              <w:t xml:space="preserve">4</w:t>
            </w:r>
          </w:p>
        </w:tc>
      </w:tr>
    </w:tbl>
    <w:p>
      <w:pPr>
        <w:spacing w:lineRule="auto"/>
      </w:pPr>
      <w:r>
        <w:rPr/>
      </w:r>
    </w:p>
    <w:p>
      <w:pPr>
        <w:pStyle w:val="Heading3"/>
        <w:spacing w:lineRule="auto"/>
      </w:pPr>
      <w:r>
        <w:rPr>
          <w:color w:val="0b3d63"/>
          <w:b/>
          <w:sz w:val="22"/>
        </w:rPr>
        <w:t xml:space="preserve">Preferred assessment methods</w:t>
      </w:r>
    </w:p>
    <w:p>
      <w:pPr>
        <w:numPr>
          <w:ilvl w:val="0"/>
          <w:numId w:val="3"/>
        </w:numPr>
        <w:spacing w:lineRule="auto"/>
      </w:pPr>
      <w:r>
        <w:rPr/>
        <w:t xml:space="preserve">knowledge_questions</w:t>
      </w:r>
    </w:p>
    <w:p>
      <w:pPr>
        <w:numPr>
          <w:ilvl w:val="0"/>
          <w:numId w:val="3"/>
        </w:numPr>
        <w:spacing w:lineRule="auto"/>
      </w:pPr>
      <w:r>
        <w:rPr/>
        <w:t xml:space="preserve">observation</w:t>
      </w:r>
    </w:p>
    <w:p>
      <w:pPr>
        <w:spacing w:lineRule="auto"/>
      </w:pPr>
      <w:r>
        <w:rPr>
          <w:color w:val="70808c"/>
          <w:sz w:val="17"/>
        </w:rPr>
        <w:t xml:space="preserve">Assessment is designed against the principles of assessment (validity, reliability, flexibility, fairness) and the rules of evidence (valid, sufficient, authentic, current).</w:t>
      </w:r>
    </w:p>
    <w:p>
      <w:pPr>
        <w:pStyle w:val="Heading2"/>
        <w:spacing w:lineRule="auto"/>
      </w:pPr>
      <w:r>
        <w:rPr>
          <w:color w:val="0b3d63"/>
          <w:b/>
          <w:sz w:val="26"/>
        </w:rPr>
        <w:t xml:space="preserve">6. Assessor requirements</w:t>
      </w:r>
    </w:p>
    <w:p>
      <w:pPr>
        <w:spacing w:lineRule="auto"/>
      </w:pPr>
      <w:r>
        <w:rPr/>
        <w:t xml:space="preserve">Assessors hold the current TAE assessor credential, demonstrated vocational competency at least to the level being assessed, and current industry skills and knowledge. [to be completed by RTO]</w:t>
      </w:r>
    </w:p>
    <w:p>
      <w:pPr>
        <w:pStyle w:val="Heading2"/>
        <w:spacing w:lineRule="auto"/>
      </w:pPr>
      <w:r>
        <w:rPr>
          <w:color w:val="0b3d63"/>
          <w:b/>
          <w:sz w:val="26"/>
        </w:rPr>
        <w:t xml:space="preserve">7. Delivery and assessment schedule</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2523"/>
        <w:gridCol w:w="2523"/>
        <w:gridCol w:w="2523"/>
        <w:gridCol w:w="2523"/>
      </w:tblGrid>
      <w:tr>
        <w:trPr>
          <w:cantSplit/>
        </w:trPr>
        <w:tc>
          <w:tcPr>
            <w:shd w:val="clear" w:fill="0b3d63"/>
            <w:vAlign w:val="top"/>
          </w:tcPr>
          <w:p>
            <w:pPr>
              <w:jc w:val="center"/>
              <w:spacing w:lineRule="auto"/>
            </w:pPr>
            <w:r>
              <w:rPr>
                <w:color w:val="ffffff"/>
                <w:b/>
              </w:rPr>
              <w:t xml:space="preserve">Week</w:t>
            </w:r>
          </w:p>
        </w:tc>
        <w:tc>
          <w:tcPr>
            <w:shd w:val="clear" w:fill="0b3d63"/>
            <w:vAlign w:val="top"/>
          </w:tcPr>
          <w:p>
            <w:pPr>
              <w:jc w:val="left"/>
              <w:spacing w:lineRule="auto"/>
            </w:pPr>
            <w:r>
              <w:rPr>
                <w:color w:val="ffffff"/>
                <w:b/>
              </w:rPr>
              <w:t xml:space="preserve">Focus (element)</w:t>
            </w:r>
          </w:p>
        </w:tc>
        <w:tc>
          <w:tcPr>
            <w:shd w:val="clear" w:fill="0b3d63"/>
            <w:vAlign w:val="top"/>
          </w:tcPr>
          <w:p>
            <w:pPr>
              <w:jc w:val="left"/>
              <w:spacing w:lineRule="auto"/>
            </w:pPr>
            <w:r>
              <w:rPr>
                <w:color w:val="ffffff"/>
                <w:b/>
              </w:rPr>
              <w:t xml:space="preserve">Indicative learning content</w:t>
            </w:r>
          </w:p>
        </w:tc>
        <w:tc>
          <w:tcPr>
            <w:shd w:val="clear" w:fill="0b3d63"/>
            <w:vAlign w:val="top"/>
          </w:tcPr>
          <w:p>
            <w:pPr>
              <w:jc w:val="left"/>
              <w:spacing w:lineRule="auto"/>
            </w:pPr>
            <w:r>
              <w:rPr>
                <w:color w:val="ffffff"/>
                <w:b/>
              </w:rPr>
              <w:t xml:space="preserve">Assessment</w:t>
            </w:r>
          </w:p>
        </w:tc>
      </w:tr>
      <w:tblGrid>
        <w:gridCol w:w="2523"/>
        <w:gridCol w:w="2523"/>
        <w:gridCol w:w="2523"/>
        <w:gridCol w:w="2523"/>
      </w:tblGrid>
      <w:tr>
        <w:trPr>
          <w:cantSplit/>
        </w:trPr>
        <w:tc>
          <w:tcPr>
            <w:vAlign w:val="top"/>
          </w:tcPr>
          <w:p>
            <w:pPr>
              <w:jc w:val="center"/>
              <w:spacing w:lineRule="auto"/>
            </w:pPr>
            <w:r>
              <w:rPr/>
              <w:t xml:space="preserve">1</w:t>
            </w:r>
          </w:p>
        </w:tc>
        <w:tc>
          <w:tcPr>
            <w:vAlign w:val="top"/>
          </w:tcPr>
          <w:p>
            <w:pPr>
              <w:spacing w:lineRule="auto"/>
            </w:pPr>
            <w:r>
              <w:rPr/>
              <w:t xml:space="preserve">E1 — Receive and relay messages; E2 — Interpret messages; E3 — Respond to request for information; E4 — Complete workplace forms</w:t>
            </w:r>
          </w:p>
        </w:tc>
        <w:tc>
          <w:tcPr>
            <w:vAlign w:val="top"/>
          </w:tcPr>
          <w:p>
            <w:pPr>
              <w:spacing w:lineRule="auto"/>
            </w:pPr>
            <w:r>
              <w:rPr/>
              <w:t xml:space="preserve">1.1 Receive a message and confirm understanding; Knowledge check: Receiving and relaying messages; Element summary; 1.2 Accurately record the message …</w:t>
            </w:r>
          </w:p>
        </w:tc>
        <w:tc>
          <w:tcPr>
            <w:vAlign w:val="top"/>
          </w:tcPr>
          <w:p>
            <w:pPr>
              <w:spacing w:lineRule="auto"/>
            </w:pPr>
            <w:r>
              <w:rPr/>
              <w:t xml:space="preserve">E1 Knowledge Questions — Receiving and relaying messages (knowledge questions); E1 Observation — Receive, record and relay a message (observation); E2 Knowledge Questions — Interpreting messages (knowledge questions); E2 Observation — Interpret a message and act (observation); E3 Knowledge Questions — Responding to requests for information (knowledge questions); E3 Observation — Respond to a request for information (observation); E4 Knowledge Questions — Completing workplace forms (knowledge questions); E4 Observation — Complete and submit a workplace form (observation)</w:t>
            </w:r>
          </w:p>
        </w:tc>
      </w:tr>
    </w:tbl>
    <w:p>
      <w:pPr>
        <w:spacing w:lineRule="auto"/>
      </w:pPr>
      <w:r>
        <w:rPr/>
      </w:r>
    </w:p>
    <w:p>
      <w:pPr>
        <w:spacing w:lineRule="auto"/>
      </w:pPr>
      <w:r>
        <w:rPr>
          <w:color w:val="70808c"/>
          <w:sz w:val="17"/>
        </w:rPr>
        <w:t xml:space="preserve">This week-by-week schedule is derived from the SAME weekly chunking that allocates the delivered weekly books and question categories, so this TAS and the shipped materials agree by construction. Timings are indicative — confirm dates against the group timetable.</w:t>
      </w:r>
    </w:p>
    <w:p>
      <w:pPr>
        <w:pStyle w:val="Heading3"/>
        <w:spacing w:lineRule="auto"/>
      </w:pPr>
      <w:r>
        <w:rPr>
          <w:color w:val="0b3d63"/>
          <w:b/>
          <w:sz w:val="22"/>
        </w:rPr>
        <w:t xml:space="preserve">Elements at a glance</w:t>
      </w:r>
    </w:p>
    <w:tbl>
      <w:tblPr>
        <w:tblBorders>
          <w:top w:val="single" w:sz="8" w:space="0" w:color="CCD5DD"/>
          <w:bottom w:val="single" w:sz="8" w:space="0" w:color="CCD5DD"/>
          <w:left w:val="single" w:sz="8" w:space="0" w:color="CCD5DD"/>
          <w:right w:val="single" w:sz="8" w:space="0" w:color="CCD5DD"/>
          <w:insideV w:val="single" w:sz="8" w:space="0" w:color="CCD5DD"/>
          <w:insideH w:val="single" w:sz="8" w:space="0" w:color="CCD5DD"/>
        </w:tblBorders>
        <w:tblW w:type="dxa" w:w="10092"/>
        <w:tblCellMar>
          <w:top w:type="dxa" w:w="80"/>
          <w:bottom w:type="dxa" w:w="80"/>
          <w:left w:type="dxa" w:w="160"/>
          <w:right w:type="dxa" w:w="160"/>
        </w:tblCellMar>
        <w:jc w:val="center"/>
      </w:tblPr>
      <w:tblGrid>
        <w:gridCol w:w="3364"/>
        <w:gridCol w:w="3364"/>
        <w:gridCol w:w="3364"/>
      </w:tblGrid>
      <w:tr>
        <w:trPr>
          <w:cantSplit/>
        </w:trPr>
        <w:tc>
          <w:tcPr>
            <w:shd w:val="clear" w:fill="0b3d63"/>
            <w:vAlign w:val="top"/>
          </w:tcPr>
          <w:p>
            <w:pPr>
              <w:jc w:val="left"/>
              <w:spacing w:lineRule="auto"/>
            </w:pPr>
            <w:r>
              <w:rPr>
                <w:color w:val="ffffff"/>
                <w:b/>
              </w:rPr>
              <w:t xml:space="preserve">Element</w:t>
            </w:r>
          </w:p>
        </w:tc>
        <w:tc>
          <w:tcPr>
            <w:shd w:val="clear" w:fill="0b3d63"/>
            <w:vAlign w:val="top"/>
          </w:tcPr>
          <w:p>
            <w:pPr>
              <w:jc w:val="left"/>
              <w:spacing w:lineRule="auto"/>
            </w:pPr>
            <w:r>
              <w:rPr>
                <w:color w:val="ffffff"/>
                <w:b/>
              </w:rPr>
              <w:t xml:space="preserve">Title</w:t>
            </w:r>
          </w:p>
        </w:tc>
        <w:tc>
          <w:tcPr>
            <w:shd w:val="clear" w:fill="0b3d63"/>
            <w:vAlign w:val="top"/>
          </w:tcPr>
          <w:p>
            <w:pPr>
              <w:jc w:val="left"/>
              <w:spacing w:lineRule="auto"/>
            </w:pPr>
            <w:r>
              <w:rPr>
                <w:color w:val="ffffff"/>
                <w:b/>
              </w:rPr>
              <w:t xml:space="preserve">Performance criteria</w:t>
            </w:r>
          </w:p>
        </w:tc>
      </w:tr>
      <w:tblGrid>
        <w:gridCol w:w="3364"/>
        <w:gridCol w:w="3364"/>
        <w:gridCol w:w="3364"/>
      </w:tblGrid>
      <w:tr>
        <w:trPr>
          <w:cantSplit/>
        </w:trPr>
        <w:tc>
          <w:tcPr>
            <w:vAlign w:val="top"/>
          </w:tcPr>
          <w:p>
            <w:pPr>
              <w:spacing w:lineRule="auto"/>
            </w:pPr>
            <w:r>
              <w:rPr/>
              <w:t xml:space="preserve">E1</w:t>
            </w:r>
          </w:p>
        </w:tc>
        <w:tc>
          <w:tcPr>
            <w:vAlign w:val="top"/>
          </w:tcPr>
          <w:p>
            <w:pPr>
              <w:spacing w:lineRule="auto"/>
            </w:pPr>
            <w:r>
              <w:rPr/>
              <w:t xml:space="preserve">Receive and relay messages</w:t>
            </w:r>
          </w:p>
        </w:tc>
        <w:tc>
          <w:tcPr>
            <w:vAlign w:val="top"/>
          </w:tcPr>
          <w:p>
            <w:pPr>
              <w:jc w:val="center"/>
              <w:spacing w:lineRule="auto"/>
            </w:pPr>
            <w:r>
              <w:rPr/>
              <w:t xml:space="preserve">3</w:t>
            </w:r>
          </w:p>
        </w:tc>
      </w:tr>
      <w:tr>
        <w:trPr>
          <w:cantSplit/>
        </w:trPr>
        <w:tc>
          <w:tcPr>
            <w:vAlign w:val="top"/>
          </w:tcPr>
          <w:p>
            <w:pPr>
              <w:spacing w:lineRule="auto"/>
            </w:pPr>
            <w:r>
              <w:rPr/>
              <w:t xml:space="preserve">E2</w:t>
            </w:r>
          </w:p>
        </w:tc>
        <w:tc>
          <w:tcPr>
            <w:vAlign w:val="top"/>
          </w:tcPr>
          <w:p>
            <w:pPr>
              <w:spacing w:lineRule="auto"/>
            </w:pPr>
            <w:r>
              <w:rPr/>
              <w:t xml:space="preserve">Interpret messages</w:t>
            </w:r>
          </w:p>
        </w:tc>
        <w:tc>
          <w:tcPr>
            <w:vAlign w:val="top"/>
          </w:tcPr>
          <w:p>
            <w:pPr>
              <w:jc w:val="center"/>
              <w:spacing w:lineRule="auto"/>
            </w:pPr>
            <w:r>
              <w:rPr/>
              <w:t xml:space="preserve">3</w:t>
            </w:r>
          </w:p>
        </w:tc>
      </w:tr>
      <w:tr>
        <w:trPr>
          <w:cantSplit/>
        </w:trPr>
        <w:tc>
          <w:tcPr>
            <w:vAlign w:val="top"/>
          </w:tcPr>
          <w:p>
            <w:pPr>
              <w:spacing w:lineRule="auto"/>
            </w:pPr>
            <w:r>
              <w:rPr/>
              <w:t xml:space="preserve">E3</w:t>
            </w:r>
          </w:p>
        </w:tc>
        <w:tc>
          <w:tcPr>
            <w:vAlign w:val="top"/>
          </w:tcPr>
          <w:p>
            <w:pPr>
              <w:spacing w:lineRule="auto"/>
            </w:pPr>
            <w:r>
              <w:rPr/>
              <w:t xml:space="preserve">Respond to request for information</w:t>
            </w:r>
          </w:p>
        </w:tc>
        <w:tc>
          <w:tcPr>
            <w:vAlign w:val="top"/>
          </w:tcPr>
          <w:p>
            <w:pPr>
              <w:jc w:val="center"/>
              <w:spacing w:lineRule="auto"/>
            </w:pPr>
            <w:r>
              <w:rPr/>
              <w:t xml:space="preserve">3</w:t>
            </w:r>
          </w:p>
        </w:tc>
      </w:tr>
      <w:tr>
        <w:trPr>
          <w:cantSplit/>
        </w:trPr>
        <w:tc>
          <w:tcPr>
            <w:vAlign w:val="top"/>
          </w:tcPr>
          <w:p>
            <w:pPr>
              <w:spacing w:lineRule="auto"/>
            </w:pPr>
            <w:r>
              <w:rPr/>
              <w:t xml:space="preserve">E4</w:t>
            </w:r>
          </w:p>
        </w:tc>
        <w:tc>
          <w:tcPr>
            <w:vAlign w:val="top"/>
          </w:tcPr>
          <w:p>
            <w:pPr>
              <w:spacing w:lineRule="auto"/>
            </w:pPr>
            <w:r>
              <w:rPr/>
              <w:t xml:space="preserve">Complete workplace forms</w:t>
            </w:r>
          </w:p>
        </w:tc>
        <w:tc>
          <w:tcPr>
            <w:vAlign w:val="top"/>
          </w:tcPr>
          <w:p>
            <w:pPr>
              <w:jc w:val="center"/>
              <w:spacing w:lineRule="auto"/>
            </w:pPr>
            <w:r>
              <w:rPr/>
              <w:t xml:space="preserve">4</w:t>
            </w:r>
          </w:p>
        </w:tc>
      </w:tr>
    </w:tbl>
    <w:p>
      <w:pPr>
        <w:spacing w:lineRule="auto"/>
      </w:pPr>
      <w:r>
        <w:rPr/>
      </w:r>
    </w:p>
    <w:p>
      <w:pPr>
        <w:spacing w:lineRule="auto"/>
      </w:pPr>
      <w:r>
        <w:rPr>
          <w:color w:val="a0356f"/>
          <w:shd w:val="clear" w:fill="fdf3f8"/>
          <w:sz w:val="17"/>
        </w:rPr>
        <w:t xml:space="preserve">This Training and Assessment Strategy is a DRAFT and must be reviewed and validated by the RTO before use in delivery.</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r>
      <rPr>
        <color xmlns:ns2="http://schemas.openxmlformats.org/wordprocessingml/2006/main" ns2:val="9999aa"/>
        <sz xmlns:ns3="http://schemas.openxmlformats.org/wordprocessingml/2006/main" ns3:val="15"/>
      </rPr>
      <t xml:space="preserve">MSMSUP102 Communicate in the workplace  ·  </t>
    </r>
    <r>
      <rPr>
        <color xmlns:ns4="http://schemas.openxmlformats.org/wordprocessingml/2006/main" ns4:val="bb0066"/>
        <sz xmlns:ns5="http://schemas.openxmlformats.org/wordprocessingml/2006/main" ns5:val="15"/>
      </rPr>
      <t xml:space="preserve">DRAFT — NOT FOR DELIVERY UNTIL VALIDATED</t>
    </r>
    <fldSimple xmlns:ns6="http://schemas.openxmlformats.org/wordprocessingml/2006/main" ns6:instr="PAGE">
      <r/>
    </fldSimple>
  </p>
</ftr>
</file>

<file path=word/header1.xml><?xml version="1.0" encoding="utf-8"?>
<hdr xmlns="http://schemas.openxmlformats.org/wordprocessingml/2006/main">
  <p>
    <pPr>
      <spacing xmlns:ns1="http://schemas.openxmlformats.org/wordprocessingml/2006/main" ns1:lineRule="auto"/>
    </pPr>
    <r>
      <rPr>
        <color xmlns:ns2="http://schemas.openxmlformats.org/wordprocessingml/2006/main" ns2:val="666677"/>
        <sz xmlns:ns3="http://schemas.openxmlformats.org/wordprocessingml/2006/main" ns3:val="16"/>
      </rPr>
      <t xml:space="preserve">[RTO name]  ·  Training &amp; Assessment Strategy · v1.0</t>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Arial" w:eastAsiaTheme="minorHAnsi" w:hAnsiTheme="minorHAnsi" w:cstheme="minorBidi"/>
        <w:sz w:val="20"/>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a:ea typeface="Arial"/>
        <a:cs typeface=""/>
      </a:majorFont>
      <a:minorFont>
        <a:latin typeface="Arial"/>
        <a:ea typeface="Arial"/>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2026-07-14T13:15:14.307Z</dcterms:created>
  <dcterms:modified xsi:type="dcterms:W3CDTF">2026-07-14T13:15:14.307Z</dcterms:modified>
</cp:coreProperties>
</file>